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  <w:t xml:space="preserve">   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834439</wp:posOffset>
            </wp:positionH>
            <wp:positionV relativeFrom="paragraph">
              <wp:posOffset>199928</wp:posOffset>
            </wp:positionV>
            <wp:extent cx="3881120" cy="1742440"/>
            <wp:effectExtent b="0" l="0" r="0" t="0"/>
            <wp:wrapSquare wrapText="bothSides" distB="0" distT="0" distL="114300" distR="114300"/>
            <wp:docPr id="214408786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174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jc w:val="center"/>
        <w:rPr>
          <w:b w:val="1"/>
          <w:color w:val="0f4761"/>
          <w:sz w:val="48"/>
          <w:szCs w:val="48"/>
        </w:rPr>
      </w:pP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سياسة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تعارض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المصالح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</w:p>
    <w:p w:rsidR="00000000" w:rsidDel="00000000" w:rsidP="00000000" w:rsidRDefault="00000000" w:rsidRPr="00000000" w14:paraId="0000000E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jc w:val="center"/>
        <w:rPr>
          <w:color w:val="0f4761"/>
          <w:sz w:val="36"/>
          <w:szCs w:val="36"/>
        </w:rPr>
      </w:pPr>
      <w:r w:rsidDel="00000000" w:rsidR="00000000" w:rsidRPr="00000000">
        <w:rPr>
          <w:color w:val="0f4761"/>
          <w:sz w:val="36"/>
          <w:szCs w:val="36"/>
          <w:rtl w:val="1"/>
        </w:rPr>
        <w:t xml:space="preserve">داعم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الجمعية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السعودية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لأبحاث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الأورام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</w:p>
    <w:p w:rsidR="00000000" w:rsidDel="00000000" w:rsidP="00000000" w:rsidRDefault="00000000" w:rsidRPr="00000000" w14:paraId="00000010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bidi w:val="1"/>
        <w:spacing w:after="0" w:line="240" w:lineRule="auto"/>
        <w:ind w:left="720" w:right="578" w:hanging="360"/>
        <w:rPr>
          <w:rFonts w:ascii="Arial" w:cs="Arial" w:eastAsia="Arial" w:hAnsi="Arial"/>
          <w:b w:val="1"/>
          <w:color w:val="0f4761"/>
          <w:sz w:val="52"/>
          <w:szCs w:val="5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 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تمهيد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0"/>
        </w:rPr>
        <w:t xml:space="preserve">1.1: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تحترم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داعم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لأبحاث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الأورام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"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خصوصية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يقوم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تصرفات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خارج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إطار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ليس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اهتمامها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ترى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أثناء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ممارسة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أنشطة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اجتماعية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تتداخل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بصورة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موضعيته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ولائه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ينشأ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after="0" w:line="240" w:lineRule="auto"/>
        <w:ind w:left="72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0"/>
        </w:rPr>
        <w:t xml:space="preserve">2.1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تؤمن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بقيمها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ومبادئها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المتمثلة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النزاهة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الجماعي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العناية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المبادرة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الإنجاز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تأتي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الصادرة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لتعزيز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القيم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حمايتها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لتفادي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تؤثر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العائلية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المهنية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أداء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واجباته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تجاه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يتحصل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مكاسب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حساب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1">
      <w:pPr>
        <w:bidi w:val="1"/>
        <w:spacing w:after="0" w:line="240" w:lineRule="auto"/>
        <w:ind w:right="578"/>
        <w:rPr>
          <w:rFonts w:ascii="Arial" w:cs="Arial" w:eastAsia="Arial" w:hAnsi="Arial"/>
          <w:b w:val="1"/>
          <w:color w:val="0f4761"/>
          <w:sz w:val="52"/>
          <w:szCs w:val="5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2.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نطاق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وأهداف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0"/>
        </w:rPr>
        <w:t xml:space="preserve">1.2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الإخلال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التشريعات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والقوانين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المعمول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المملكة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العربية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السعودية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تحكم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نظام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والمؤسسات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الأهلية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ولائحته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الاساسية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تأتي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استكمالا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،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دون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تحل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محلها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2.2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تطبق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ويشمل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العمومية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اللجان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المنبثقة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ومديري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موظفيها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متطوعيها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ومستشاريها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تتعاقد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3.2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يشمل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يتعلق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بالأشخاص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أنفسهم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المذكورين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الفقرة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السابقة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آخر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علاقة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ويشمل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هؤلاء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الزوجة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،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الأبناء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،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الوالدين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،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الأشقاء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أفراد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العائلة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القرابة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حتى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الدرجة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الرابعة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4.2: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جزءا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يتجزأ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تربط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بالأشخاص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العاملين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كانت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قرارات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تعيين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عقود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5.2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تضمن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العقود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تبرمها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استشاريها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الخارجيين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نصوصا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تنظم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يتفق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أحكام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6.2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 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تهدف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حماية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وسمعتها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أشكال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السلبية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تنشأ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بسبب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D">
      <w:pPr>
        <w:bidi w:val="1"/>
        <w:spacing w:after="0" w:line="240" w:lineRule="auto"/>
        <w:ind w:left="360" w:right="578" w:firstLine="0"/>
        <w:rPr>
          <w:rFonts w:ascii="Arial" w:cs="Arial" w:eastAsia="Arial" w:hAnsi="Arial"/>
          <w:b w:val="1"/>
          <w:color w:val="0f476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color w:val="0f4761"/>
          <w:sz w:val="44"/>
          <w:szCs w:val="4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color w:val="0f4761"/>
          <w:sz w:val="56"/>
          <w:szCs w:val="56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مسئوليات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وصلاحيات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والإدارة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التنفيذية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الخاصة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بسياسة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تنظيم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2"/>
          <w:szCs w:val="32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48"/>
          <w:szCs w:val="4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6"/>
          <w:szCs w:val="36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spacing w:after="0" w:line="240" w:lineRule="auto"/>
        <w:ind w:left="360" w:right="578" w:firstLine="0"/>
        <w:rPr>
          <w:rFonts w:ascii="Arial" w:cs="Arial" w:eastAsia="Arial" w:hAnsi="Arial"/>
          <w:b w:val="1"/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1.3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الاختصاصات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الرئيسية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2.3: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تكوين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لجان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محددة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تكليف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لجانه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المنبثقة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للنظر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المسائل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المحتمل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تنطوي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مراعاة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متطلبات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استقلالية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اللجان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3.3: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الشخص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إذا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قرر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يخص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تعاملات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تعاملات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وكبار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تنطوي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صلاحية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القرار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المسؤول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بخصوص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باقي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موظفي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4.3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لسلطته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يقرر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بشأن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حدة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الإعفاء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المسؤولية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الذي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ينشأ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سياق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عمله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يتعلق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تعيقه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القيام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بواجبه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التصرف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أكمل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وجه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يتوافق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5.3: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عندما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يقرر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يلتزم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صاحب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المتعارضة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بتصحيح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وضعه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وبجميع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يقررها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إتباع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المنظمة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6.3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صلاحية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إيقاع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الجزاءات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مخالفي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ورفع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القضايا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الجنائية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والحقوقية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المطالبة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بالأضرار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تنجم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التزام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ذوي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العلاقة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7.3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المخول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تفسير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أحكام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الانظمة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السارية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الأساسية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وأنظمة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الجهات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المشرفة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8.3: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يعتمد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ويبلغ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موظفي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وتكون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نافذة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تاريخ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9.3: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التأكد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تنفيذ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بموجبها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إجراء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التعديلات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bidi w:val="1"/>
        <w:spacing w:after="0" w:line="240" w:lineRule="auto"/>
        <w:ind w:left="567" w:right="578" w:firstLine="0"/>
        <w:rPr>
          <w:rFonts w:ascii="Arial" w:cs="Arial" w:eastAsia="Arial" w:hAnsi="Arial"/>
          <w:b w:val="1"/>
          <w:color w:val="0f4761"/>
          <w:sz w:val="56"/>
          <w:szCs w:val="5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color w:val="0f4761"/>
          <w:sz w:val="36"/>
          <w:szCs w:val="36"/>
          <w:rtl w:val="1"/>
        </w:rPr>
        <w:t xml:space="preserve">4.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6"/>
          <w:szCs w:val="36"/>
          <w:rtl w:val="1"/>
        </w:rPr>
        <w:t xml:space="preserve">حالات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6"/>
          <w:szCs w:val="36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6"/>
          <w:szCs w:val="36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b w:val="1"/>
          <w:color w:val="0f4761"/>
          <w:sz w:val="36"/>
          <w:szCs w:val="36"/>
          <w:rtl w:val="1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1.4: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يعني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وجود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لشخص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نشاط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يتعلق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قيام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الطرفين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ولكن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ينشأ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عندما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يطلب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يبدي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رأيا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يتخذ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قرارا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يقوم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بتصرف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لديه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نفس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الوقت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تتعلق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بالرأي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المطلوب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إبداؤه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بالتصرف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المطلوب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اتخاذه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لديه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التزام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تجاه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طرف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آخر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يتعلق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بهذا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الرأي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القرار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التصرف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إذ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تنطوي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انتهاك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للسرية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وإساءة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لاستعمال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الثقة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تحقيق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لمكاسب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زعزعة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ولاء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bidi w:val="1"/>
        <w:spacing w:after="0" w:line="240" w:lineRule="auto"/>
        <w:ind w:hanging="283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2.4: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تضع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أمثلة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لمعايير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سلوكية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لعدد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المواقف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بالضرورة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تغطي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المواقف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الأخرى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المحتمل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حدوثها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ويتحتم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التصرف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تلقاء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أنفسهم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بصورة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تتماشى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</w:p>
    <w:p w:rsidR="00000000" w:rsidDel="00000000" w:rsidP="00000000" w:rsidRDefault="00000000" w:rsidRPr="00000000" w14:paraId="0000003B">
      <w:pPr>
        <w:bidi w:val="1"/>
        <w:spacing w:after="0" w:line="240" w:lineRule="auto"/>
        <w:ind w:hanging="283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color w:val="0f47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وتجنب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يبدو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أنه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سلوك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يخالف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ومن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الامثلة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حالات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التعارض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Arial" w:cs="Arial" w:eastAsia="Arial" w:hAnsi="Arial"/>
          <w:color w:val="0f4761"/>
          <w:sz w:val="28"/>
          <w:szCs w:val="28"/>
          <w:rtl w:val="1"/>
        </w:rPr>
        <w:t xml:space="preserve">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color w:val="0f47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 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ينشأ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مثلا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عضو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عضو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لجنة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لجانه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موظفي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مشاركا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أوله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صلة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نشاط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تنظيمية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مهنية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نشاط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يؤثر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موضوعية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قرارات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العضو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قدراته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تأدية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واجباته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ومسؤولياته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تجاه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ينشأ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أيضا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عضو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كبار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يتلقى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يحصل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مكاسب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طرف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آخر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كان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بطريقة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مستفيدا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موقعه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ومشاركته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شؤون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ينشأ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الاستفادة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المادية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الدخول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معاملات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مادية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بالبيع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الشراء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التأجير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ايضا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ينشأ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تعيين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الأبناء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الأقارب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الوظائف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توقيع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عقود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إحدى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صور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ارتباط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جهة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ويكون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بينها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تعاملات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الهدايا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والإكراميات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يحصل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عضو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موظف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أمثلة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الاستثمار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الملكية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نشاط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تجاري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منشأة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تقدم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خدمات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تستقبل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خدمات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تبحث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إفشاء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الاسرار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إعطاء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المعلومات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تعتبر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ملكا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خاصا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يطلع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بحكم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العضوية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الوظيفة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تركه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الخدمة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قبول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الأقارب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هدايا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أشخاص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جهات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بهدف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التأثير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تصرفات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العضو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ينتج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تسلم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عضو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أفراد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عائلته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جهة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مبالغ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أشياء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قيمة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بسبب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الجهة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سعيها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قيام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جهة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تسعى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بدفع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قيمة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فواتير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مطلوبة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أفراد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عائلته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أصول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وممتلكات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شأنه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يظهر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فعليا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واستغلال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أوقات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دوام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موظفيها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معداتها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منافعها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أهدافها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إساءة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المعلومات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المتحصلة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علاقة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الشخص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لتحقيق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مكاسب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عائلية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مهنية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A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800" w:right="578" w:hanging="72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f4761"/>
          <w:sz w:val="28"/>
          <w:szCs w:val="28"/>
          <w:rtl w:val="0"/>
        </w:rPr>
        <w:t xml:space="preserve"> 1.5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يلتزم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بالتالي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الإقرار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الارتباط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الالتزام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بقيم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العدالة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والنزاهة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والمسؤولية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والأمانة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وعدم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المحاباة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الوساطة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تقديم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النفس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الآخرين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الاستفادة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قانوني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ماديا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معنويا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اهله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وأصدقائه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ومعارفه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أداء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عمله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تجنب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المشاركة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اتخاذ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القرارات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تؤدي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توحي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تعبئة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نموذج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الخاص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سنويا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ً.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لرئيسه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المباشر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شبهة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طارئة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كانت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تنتج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تقديم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يثبت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إنهاء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وجوده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طلب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440" w:right="578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1.6: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والمسؤولين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والمتطوعين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التقيد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الحالات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حيثما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انطبق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الحصول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موافقتها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حيثما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اقتضت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الحاجة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انطوت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فعلي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محتمل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والمسؤول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وغيرهم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والمتطوعين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وظائف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يشغلونها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ارتباط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شخصي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مؤسسة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خارجية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كانت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داخل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المملكة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خارجها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والمسؤول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وغيرهم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والمتطوعين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وظيفة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حصة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ملكية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تخص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أفراد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أسرهم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الوالدان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والزوجة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الزوجات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الزوج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الأبناء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أقاربهم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حتى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الدرجة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الرابعة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جمعيات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مؤسسات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ربحية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تسعى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bidi w:val="1"/>
        <w:spacing w:after="0" w:line="240" w:lineRule="auto"/>
        <w:ind w:left="720" w:right="-77" w:hanging="36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والمسؤولين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وغيرهم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والمتطوعين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الحصول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موافقتها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يمكن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تنطوي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محظور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تخضع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الحالات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للمراجعة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والتقييم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واتخاذ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القرار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انتقال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وظيفة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رئاسية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وظيفة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الوظائف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ربما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تنطوي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ربما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يتعين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إعادة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تعبئة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نموذج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أخلاقيات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بيان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غضون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30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يوما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تغيير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الوظيفة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تقع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عاتق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المباشر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للموظف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مسؤولية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التأكد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قيام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بتعبئة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استمارة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نحو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2.6 :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التقصير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والحصول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موافقة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المسؤول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والمتطوعين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للإجراءات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التأديبية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لنظام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المملكة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العربية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السعودية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واللائحة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الأساسية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440" w:right="578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. 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تقارير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f4761"/>
          <w:sz w:val="36"/>
          <w:szCs w:val="36"/>
          <w:u w:val="none"/>
          <w:shd w:fill="auto" w:val="clear"/>
          <w:vertAlign w:val="baseline"/>
          <w:rtl w:val="1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1.7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تودع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نموذج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لجنة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الجودة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 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2.7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تودع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نموذج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موظفي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ومتطوعي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المدير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الموارد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البشرية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3.7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يقدم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مراجع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الخارجي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تقريرا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خاصا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بالأعمال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والعقود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المبرمة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تنطوي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مباشرة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لعضو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طلب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رئيس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يضمن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تقريره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السنوي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لأداء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الذي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يقدمه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العمومية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bidi w:val="1"/>
        <w:spacing w:after="0" w:line="240" w:lineRule="auto"/>
        <w:ind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4.7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تصدر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المخولة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بالمراجعة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تقريرا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سنويا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يوضح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تفاصيل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الأعمال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العقود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انطوت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مصلحة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لموظفي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نماذج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المودعة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لديها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bidi w:val="1"/>
        <w:rPr>
          <w:color w:val="0f476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bidi w:val="1"/>
        <w:rPr>
          <w:color w:val="0f4761"/>
          <w:sz w:val="32"/>
          <w:szCs w:val="32"/>
        </w:rPr>
      </w:pP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حيث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ان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هذه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السياسة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تعد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جزءا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ً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لا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يتجزأ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من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الوثائق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التي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تربط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الجمعية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بالأشخاص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العاملين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لصالحها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فإنه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لا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يجوز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مخالفة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أحكامها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والالتزامات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الواردة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بها</w:t>
      </w:r>
      <w:r w:rsidDel="00000000" w:rsidR="00000000" w:rsidRPr="00000000">
        <w:rPr>
          <w:color w:val="0f4761"/>
          <w:sz w:val="32"/>
          <w:szCs w:val="32"/>
          <w:highlight w:val="lightGray"/>
          <w:rtl w:val="1"/>
        </w:rPr>
        <w:t xml:space="preserve">.</w:t>
      </w:r>
      <w:r w:rsidDel="00000000" w:rsidR="00000000" w:rsidRPr="00000000">
        <w:rPr>
          <w:color w:val="0f4761"/>
          <w:sz w:val="32"/>
          <w:szCs w:val="32"/>
          <w:rtl w:val="0"/>
        </w:rPr>
        <w:t xml:space="preserve"> </w:t>
      </w:r>
    </w:p>
    <w:p w:rsidR="00000000" w:rsidDel="00000000" w:rsidP="00000000" w:rsidRDefault="00000000" w:rsidRPr="00000000" w14:paraId="0000006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586</wp:posOffset>
            </wp:positionV>
            <wp:extent cx="5928360" cy="8379460"/>
            <wp:effectExtent b="0" l="0" r="0" t="0"/>
            <wp:wrapSquare wrapText="bothSides" distB="0" distT="0" distL="114300" distR="114300"/>
            <wp:docPr id="2144087861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28360" cy="83794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0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-427382</wp:posOffset>
            </wp:positionH>
            <wp:positionV relativeFrom="paragraph">
              <wp:posOffset>401</wp:posOffset>
            </wp:positionV>
            <wp:extent cx="5900467" cy="8339934"/>
            <wp:effectExtent b="0" l="0" r="0" t="0"/>
            <wp:wrapSquare wrapText="bothSides" distB="0" distT="0" distL="114300" distR="114300"/>
            <wp:docPr descr="صورة تحتوي على نص, رسم بياني, لقطة شاشة, خط&#10;&#10;تم إنشاء الوصف تلقائياً" id="2144087868" name="image8.jpg"/>
            <a:graphic>
              <a:graphicData uri="http://schemas.openxmlformats.org/drawingml/2006/picture">
                <pic:pic>
                  <pic:nvPicPr>
                    <pic:cNvPr descr="صورة تحتوي على نص, رسم بياني, لقطة شاشة, خط&#10;&#10;تم إنشاء الوصف تلقائياً" id="0" name="image8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0467" cy="833993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1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-196701</wp:posOffset>
            </wp:positionH>
            <wp:positionV relativeFrom="paragraph">
              <wp:posOffset>591</wp:posOffset>
            </wp:positionV>
            <wp:extent cx="5839874" cy="8255017"/>
            <wp:effectExtent b="0" l="0" r="0" t="0"/>
            <wp:wrapSquare wrapText="bothSides" distB="0" distT="0" distL="114300" distR="114300"/>
            <wp:docPr descr="صورة تحتوي على نص, لقطة شاشة, رسم بياني, خط&#10;&#10;تم إنشاء الوصف تلقائياً" id="2144087865" name="image6.jpg"/>
            <a:graphic>
              <a:graphicData uri="http://schemas.openxmlformats.org/drawingml/2006/picture">
                <pic:pic>
                  <pic:nvPicPr>
                    <pic:cNvPr descr="صورة تحتوي على نص, لقطة شاشة, رسم بياني, خط&#10;&#10;تم إنشاء الوصف تلقائياً" id="0" name="image6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39874" cy="825501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2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5081</wp:posOffset>
            </wp:positionH>
            <wp:positionV relativeFrom="paragraph">
              <wp:posOffset>0</wp:posOffset>
            </wp:positionV>
            <wp:extent cx="5506720" cy="6273165"/>
            <wp:effectExtent b="0" l="0" r="0" t="0"/>
            <wp:wrapSquare wrapText="bothSides" distB="0" distT="0" distL="114300" distR="114300"/>
            <wp:docPr id="214408786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 b="19406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06720" cy="62731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3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أقر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انا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ادناه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المعلومات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محدثة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وصحيحة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ومتماشية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75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bidi w:val="1"/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الاسم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bidi w:val="1"/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المسمى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الوظيفي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bidi w:val="1"/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التاريخ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                                                         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التتوقي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ع</w:t>
      </w:r>
      <w:r w:rsidDel="00000000" w:rsidR="00000000" w:rsidRPr="00000000">
        <w:rPr>
          <w:rFonts w:ascii="Arial" w:cs="Arial" w:eastAsia="Arial" w:hAnsi="Arial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bidi w:val="1"/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اعتماد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مجلس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الإدارة</w:t>
      </w:r>
      <w:r w:rsidDel="00000000" w:rsidR="00000000" w:rsidRPr="00000000">
        <w:rPr>
          <w:sz w:val="32"/>
          <w:szCs w:val="32"/>
          <w:rtl w:val="1"/>
        </w:rPr>
        <w:t xml:space="preserve"> </w:t>
      </w:r>
    </w:p>
    <w:p w:rsidR="00000000" w:rsidDel="00000000" w:rsidP="00000000" w:rsidRDefault="00000000" w:rsidRPr="00000000" w14:paraId="0000007D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u w:val="single"/>
          <w:rtl w:val="1"/>
        </w:rPr>
        <w:t xml:space="preserve">تم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إعتماد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سياسة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تعارض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المصالح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بالجمعية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داعم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لأبحاث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الأورام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32"/>
          <w:szCs w:val="32"/>
          <w:u w:val="single"/>
          <w:rtl w:val="1"/>
        </w:rPr>
        <w:t xml:space="preserve"> 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في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sz w:val="32"/>
          <w:szCs w:val="32"/>
          <w:u w:val="single"/>
          <w:rtl w:val="1"/>
        </w:rPr>
        <w:t xml:space="preserve">اجتم</w:t>
      </w:r>
      <w:r w:rsidDel="00000000" w:rsidR="00000000" w:rsidRPr="00000000">
        <w:rPr>
          <w:sz w:val="32"/>
          <w:szCs w:val="32"/>
          <w:rtl w:val="1"/>
        </w:rPr>
        <w:t xml:space="preserve">اع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مجلس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الإدارة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بجلسته</w:t>
      </w:r>
      <w:r w:rsidDel="00000000" w:rsidR="00000000" w:rsidRPr="00000000">
        <w:rPr>
          <w:sz w:val="32"/>
          <w:szCs w:val="32"/>
          <w:rtl w:val="1"/>
        </w:rPr>
        <w:t xml:space="preserve">:: </w:t>
      </w:r>
      <w:r w:rsidDel="00000000" w:rsidR="00000000" w:rsidRPr="00000000">
        <w:rPr>
          <w:sz w:val="32"/>
          <w:szCs w:val="32"/>
          <w:rtl w:val="1"/>
        </w:rPr>
        <w:t xml:space="preserve">الثالثة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المنعقدة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بتاريخ</w:t>
      </w:r>
      <w:r w:rsidDel="00000000" w:rsidR="00000000" w:rsidRPr="00000000">
        <w:rPr>
          <w:sz w:val="32"/>
          <w:szCs w:val="32"/>
          <w:rtl w:val="1"/>
        </w:rPr>
        <w:t xml:space="preserve">  13/ 03/ 2024 </w:t>
      </w:r>
      <w:r w:rsidDel="00000000" w:rsidR="00000000" w:rsidRPr="00000000">
        <w:rPr>
          <w:sz w:val="32"/>
          <w:szCs w:val="32"/>
          <w:rtl w:val="1"/>
        </w:rPr>
        <w:t xml:space="preserve">الموافق</w:t>
      </w:r>
      <w:r w:rsidDel="00000000" w:rsidR="00000000" w:rsidRPr="00000000">
        <w:rPr>
          <w:sz w:val="32"/>
          <w:szCs w:val="32"/>
          <w:rtl w:val="1"/>
        </w:rPr>
        <w:t xml:space="preserve"> 03/ 09/ 1445</w:t>
      </w:r>
    </w:p>
    <w:p w:rsidR="00000000" w:rsidDel="00000000" w:rsidP="00000000" w:rsidRDefault="00000000" w:rsidRPr="00000000" w14:paraId="00000083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bidi w:val="1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                            </w:t>
      </w:r>
      <w:r w:rsidDel="00000000" w:rsidR="00000000" w:rsidRPr="00000000">
        <w:rPr>
          <w:sz w:val="32"/>
          <w:szCs w:val="32"/>
        </w:rPr>
        <w:drawing>
          <wp:inline distB="114300" distT="114300" distL="114300" distR="114300">
            <wp:extent cx="1255966" cy="1263376"/>
            <wp:effectExtent b="0" l="0" r="0" t="0"/>
            <wp:docPr id="214408786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55966" cy="12633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3" w:type="default"/>
      <w:footerReference r:id="rId14" w:type="default"/>
      <w:pgSz w:h="16838" w:w="11906" w:orient="portrait"/>
      <w:pgMar w:bottom="1440" w:top="1440" w:left="1800" w:right="180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الصفحة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733425</wp:posOffset>
          </wp:positionH>
          <wp:positionV relativeFrom="paragraph">
            <wp:posOffset>66676</wp:posOffset>
          </wp:positionV>
          <wp:extent cx="5274000" cy="749300"/>
          <wp:effectExtent b="0" l="0" r="0" t="0"/>
          <wp:wrapNone/>
          <wp:docPr id="2144087862" name="image9.png"/>
          <a:graphic>
            <a:graphicData uri="http://schemas.openxmlformats.org/drawingml/2006/picture">
              <pic:pic>
                <pic:nvPicPr>
                  <pic:cNvPr id="0" name="image9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-679449</wp:posOffset>
          </wp:positionH>
          <wp:positionV relativeFrom="paragraph">
            <wp:posOffset>-265429</wp:posOffset>
          </wp:positionV>
          <wp:extent cx="4749800" cy="1021715"/>
          <wp:effectExtent b="0" l="0" r="0" t="0"/>
          <wp:wrapNone/>
          <wp:docPr id="214408786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49800" cy="1021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2055823</wp:posOffset>
          </wp:positionH>
          <wp:positionV relativeFrom="paragraph">
            <wp:posOffset>-113028</wp:posOffset>
          </wp:positionV>
          <wp:extent cx="1557326" cy="844550"/>
          <wp:effectExtent b="0" l="0" r="0" t="0"/>
          <wp:wrapTopAndBottom distB="0" distT="0"/>
          <wp:docPr id="2144087866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b="43374" l="27142" r="30346" t="0"/>
                  <a:stretch>
                    <a:fillRect/>
                  </a:stretch>
                </pic:blipFill>
                <pic:spPr>
                  <a:xfrm>
                    <a:off x="0" y="0"/>
                    <a:ext cx="1557326" cy="844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8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5"/>
      <w:numFmt w:val="decimal"/>
      <w:lvlText w:val="%2."/>
      <w:lvlJc w:val="left"/>
      <w:pPr>
        <w:ind w:left="1800" w:hanging="720"/>
      </w:pPr>
      <w:rPr>
        <w:sz w:val="36"/>
        <w:szCs w:val="36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sz w:val="36"/>
        <w:szCs w:val="36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pPr>
      <w:bidi w:val="1"/>
    </w:pPr>
  </w:style>
  <w:style w:type="paragraph" w:styleId="1">
    <w:name w:val="heading 1"/>
    <w:basedOn w:val="a"/>
    <w:next w:val="a"/>
    <w:link w:val="1Char"/>
    <w:uiPriority w:val="9"/>
    <w:qFormat w:val="1"/>
    <w:rsid w:val="008F32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Char" w:customStyle="1">
    <w:name w:val="العنوان 1 Char"/>
    <w:basedOn w:val="a0"/>
    <w:link w:val="1"/>
    <w:uiPriority w:val="9"/>
    <w:rsid w:val="008F32F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Char" w:customStyle="1">
    <w:name w:val="عنوان 2 Char"/>
    <w:basedOn w:val="a0"/>
    <w:link w:val="2"/>
    <w:uiPriority w:val="9"/>
    <w:semiHidden w:val="1"/>
    <w:rsid w:val="008F32F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Char" w:customStyle="1">
    <w:name w:val="عنوان 3 Char"/>
    <w:basedOn w:val="a0"/>
    <w:link w:val="3"/>
    <w:uiPriority w:val="9"/>
    <w:semiHidden w:val="1"/>
    <w:rsid w:val="008F32F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Char" w:customStyle="1">
    <w:name w:val="عنوان 4 Char"/>
    <w:basedOn w:val="a0"/>
    <w:link w:val="4"/>
    <w:uiPriority w:val="9"/>
    <w:semiHidden w:val="1"/>
    <w:rsid w:val="008F32F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Char" w:customStyle="1">
    <w:name w:val="عنوان 5 Char"/>
    <w:basedOn w:val="a0"/>
    <w:link w:val="5"/>
    <w:uiPriority w:val="9"/>
    <w:semiHidden w:val="1"/>
    <w:rsid w:val="008F32F2"/>
    <w:rPr>
      <w:rFonts w:cstheme="majorBidi" w:eastAsiaTheme="majorEastAsia"/>
      <w:color w:val="0f4761" w:themeColor="accent1" w:themeShade="0000BF"/>
    </w:rPr>
  </w:style>
  <w:style w:type="character" w:styleId="6Char" w:customStyle="1">
    <w:name w:val="عنوان 6 Char"/>
    <w:basedOn w:val="a0"/>
    <w:link w:val="6"/>
    <w:uiPriority w:val="9"/>
    <w:semiHidden w:val="1"/>
    <w:rsid w:val="008F32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Char" w:customStyle="1">
    <w:name w:val="عنوان 7 Char"/>
    <w:basedOn w:val="a0"/>
    <w:link w:val="7"/>
    <w:uiPriority w:val="9"/>
    <w:semiHidden w:val="1"/>
    <w:rsid w:val="008F32F2"/>
    <w:rPr>
      <w:rFonts w:cstheme="majorBidi" w:eastAsiaTheme="majorEastAsia"/>
      <w:color w:val="595959" w:themeColor="text1" w:themeTint="0000A6"/>
    </w:rPr>
  </w:style>
  <w:style w:type="character" w:styleId="8Char" w:customStyle="1">
    <w:name w:val="عنوان 8 Char"/>
    <w:basedOn w:val="a0"/>
    <w:link w:val="8"/>
    <w:uiPriority w:val="9"/>
    <w:semiHidden w:val="1"/>
    <w:rsid w:val="008F32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Char" w:customStyle="1">
    <w:name w:val="عنوان 9 Char"/>
    <w:basedOn w:val="a0"/>
    <w:link w:val="9"/>
    <w:uiPriority w:val="9"/>
    <w:semiHidden w:val="1"/>
    <w:rsid w:val="008F32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Char"/>
    <w:uiPriority w:val="10"/>
    <w:qFormat w:val="1"/>
    <w:rsid w:val="008F32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Char" w:customStyle="1">
    <w:name w:val="العنوان Char"/>
    <w:basedOn w:val="a0"/>
    <w:link w:val="a3"/>
    <w:uiPriority w:val="10"/>
    <w:rsid w:val="008F32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 w:val="1"/>
    <w:rsid w:val="008F32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Char0" w:customStyle="1">
    <w:name w:val="عنوان فرعي Char"/>
    <w:basedOn w:val="a0"/>
    <w:link w:val="a4"/>
    <w:uiPriority w:val="11"/>
    <w:rsid w:val="008F32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 w:val="1"/>
    <w:rsid w:val="008F32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har1" w:customStyle="1">
    <w:name w:val="اقتباس Char"/>
    <w:basedOn w:val="a0"/>
    <w:link w:val="a5"/>
    <w:uiPriority w:val="29"/>
    <w:rsid w:val="008F32F2"/>
    <w:rPr>
      <w:i w:val="1"/>
      <w:iCs w:val="1"/>
      <w:color w:val="404040" w:themeColor="text1" w:themeTint="0000BF"/>
    </w:rPr>
  </w:style>
  <w:style w:type="paragraph" w:styleId="a6">
    <w:name w:val="List Paragraph"/>
    <w:basedOn w:val="a"/>
    <w:uiPriority w:val="34"/>
    <w:qFormat w:val="1"/>
    <w:rsid w:val="008F32F2"/>
    <w:pPr>
      <w:ind w:left="720"/>
      <w:contextualSpacing w:val="1"/>
    </w:pPr>
  </w:style>
  <w:style w:type="character" w:styleId="a7">
    <w:name w:val="Intense Emphasis"/>
    <w:basedOn w:val="a0"/>
    <w:uiPriority w:val="21"/>
    <w:qFormat w:val="1"/>
    <w:rsid w:val="008F32F2"/>
    <w:rPr>
      <w:i w:val="1"/>
      <w:iCs w:val="1"/>
      <w:color w:val="0f4761" w:themeColor="accent1" w:themeShade="0000BF"/>
    </w:rPr>
  </w:style>
  <w:style w:type="paragraph" w:styleId="a8">
    <w:name w:val="Intense Quote"/>
    <w:basedOn w:val="a"/>
    <w:next w:val="a"/>
    <w:link w:val="Char2"/>
    <w:uiPriority w:val="30"/>
    <w:qFormat w:val="1"/>
    <w:rsid w:val="008F32F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har2" w:customStyle="1">
    <w:name w:val="اقتباس مكثف Char"/>
    <w:basedOn w:val="a0"/>
    <w:link w:val="a8"/>
    <w:uiPriority w:val="30"/>
    <w:rsid w:val="008F32F2"/>
    <w:rPr>
      <w:i w:val="1"/>
      <w:iCs w:val="1"/>
      <w:color w:val="0f4761" w:themeColor="accent1" w:themeShade="0000BF"/>
    </w:rPr>
  </w:style>
  <w:style w:type="character" w:styleId="a9">
    <w:name w:val="Intense Reference"/>
    <w:basedOn w:val="a0"/>
    <w:uiPriority w:val="32"/>
    <w:qFormat w:val="1"/>
    <w:rsid w:val="008F32F2"/>
    <w:rPr>
      <w:b w:val="1"/>
      <w:bCs w:val="1"/>
      <w:smallCaps w:val="1"/>
      <w:color w:val="0f4761" w:themeColor="accent1" w:themeShade="0000BF"/>
      <w:spacing w:val="5"/>
    </w:rPr>
  </w:style>
  <w:style w:type="paragraph" w:styleId="aa">
    <w:name w:val="header"/>
    <w:basedOn w:val="a"/>
    <w:link w:val="Char3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a"/>
    <w:uiPriority w:val="99"/>
    <w:rsid w:val="008D6332"/>
  </w:style>
  <w:style w:type="paragraph" w:styleId="ab">
    <w:name w:val="footer"/>
    <w:basedOn w:val="a"/>
    <w:link w:val="Char4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b"/>
    <w:uiPriority w:val="99"/>
    <w:rsid w:val="008D6332"/>
  </w:style>
  <w:style w:type="paragraph" w:styleId="ac">
    <w:name w:val="Normal (Web)"/>
    <w:basedOn w:val="a"/>
    <w:uiPriority w:val="99"/>
    <w:semiHidden w:val="1"/>
    <w:unhideWhenUsed w:val="1"/>
    <w:rsid w:val="00AA33D1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jpg"/><Relationship Id="rId10" Type="http://schemas.openxmlformats.org/officeDocument/2006/relationships/image" Target="media/image6.jpg"/><Relationship Id="rId13" Type="http://schemas.openxmlformats.org/officeDocument/2006/relationships/header" Target="header1.xml"/><Relationship Id="rId12" Type="http://schemas.openxmlformats.org/officeDocument/2006/relationships/image" Target="media/image1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jpg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7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3.png"/><Relationship Id="rId3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tslfc8Du/0A9FXmA1qBsv9HJw==">CgMxLjA4AHIhMWhta2MyWWJ6WE9LanljaFAyaVI4N1dxYmcwM1RJem56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2024-05-28T11:21:00Z</dcterms:created>
  <dc:creator>daem@ssor.sa</dc:creator>
</cp:coreProperties>
</file>