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00506637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سياسة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الوقاية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من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عمليات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غسل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الأموال</w:t>
      </w:r>
    </w:p>
    <w:p w:rsidR="00000000" w:rsidDel="00000000" w:rsidP="00000000" w:rsidRDefault="00000000" w:rsidRPr="00000000" w14:paraId="0000000E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color w:val="0f4761"/>
          <w:sz w:val="48"/>
          <w:szCs w:val="48"/>
          <w:rtl w:val="1"/>
        </w:rPr>
        <w:t xml:space="preserve">وجرائم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تمويل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 </w:t>
      </w:r>
      <w:r w:rsidDel="00000000" w:rsidR="00000000" w:rsidRPr="00000000">
        <w:rPr>
          <w:color w:val="0f4761"/>
          <w:sz w:val="48"/>
          <w:szCs w:val="48"/>
          <w:rtl w:val="1"/>
        </w:rPr>
        <w:t xml:space="preserve">الإرهاب</w:t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داعم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الجمعية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السعودية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لأبحاث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الأورام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spacing w:before="40" w:line="240" w:lineRule="auto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134f5c"/>
          <w:sz w:val="32"/>
          <w:szCs w:val="32"/>
          <w:rtl w:val="1"/>
        </w:rPr>
        <w:t xml:space="preserve">مقدمة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32"/>
          <w:szCs w:val="32"/>
          <w:rtl w:val="0"/>
        </w:rPr>
        <w:t xml:space="preserve">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تعد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الوقاية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وجرائم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أحد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الركائز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الأساسية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اتخذتها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النظام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مكافحة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السعودي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الصادر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بالمرسوم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الملكي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رقم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/ 31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الرقابة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بتاريخ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11/5/1433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هـ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ولائحته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التنفيذية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وجميع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التعديلات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اللاحقة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ليتوافق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النطاق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تحدد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المسؤوليات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كافة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العاملين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لهم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علاقات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تعاقدية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وتطوعية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color w:val="0c343d"/>
          <w:sz w:val="28"/>
          <w:szCs w:val="28"/>
          <w:rtl w:val="1"/>
        </w:rPr>
        <w:t xml:space="preserve">البيان</w:t>
      </w: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طرق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الوقائية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اتخذتها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سبيل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مكافحة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وجرائم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1 -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تحديد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وفهم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وتقييم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مخاطر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تتعرض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2 -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اتخاذ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قرارات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مبررة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شأن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الحد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مخاطر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الخاصة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بالمنتجات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والخدمات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3 -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تعزيز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برامج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بناء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القدرات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والتدريب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رفع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كفاءة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العاملين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بما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يتلاءم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نوعية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الأعمال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المكافحة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4 -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رفع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كفاءة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القنوات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المستخدمة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للمكافحة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وتحسين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جودة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التعرف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العملاء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إجراءات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العناية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الواجبة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5 -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توفير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الأدوات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اللازمة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تساعد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رفع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جودة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وفاعلية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الأعمال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6 -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إقامة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برامج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توعوية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لرفع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مستوى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الوعي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لدى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العاملين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لمكافحة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غسل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الأموال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وجرائم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تمويل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الإرهاب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7 -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الاعتماد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القنوات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المالية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النقدية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والاستفادة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مميزاتها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للتقليل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النقد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المصروفات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8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8 -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التعرف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المستفيد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الحقيقي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والصفة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الطبيعية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والاعتبارية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التبادل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المالي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spacing w:before="40"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9 -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السعي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إيجاد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عمليات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ربط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الكتروني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الجهات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ذات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العلاقة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للمساهمة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التأكد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هوية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الأشخاص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والمبالغ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المشتبه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بها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bidi w:val="1"/>
        <w:spacing w:before="40" w:line="240" w:lineRule="auto"/>
        <w:ind w:left="360" w:hanging="36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c343d"/>
          <w:sz w:val="28"/>
          <w:szCs w:val="28"/>
          <w:rtl w:val="1"/>
        </w:rPr>
        <w:t xml:space="preserve">المسؤوليات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: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تطبق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السياسة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أنشطة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الجمعية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الذين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يعملون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إدارة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وإشراف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الجمعية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الطالع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الأنظمة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بمكافحة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غسل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السياسة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والإلمام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والتوقيع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،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والالتزام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أداء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واجباتهم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ومسؤولياتهم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الوظيفية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الوعي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وتزويد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الإدارات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والأقسام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بنسخة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وتحرص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الجمعية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التعاقد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متعاونين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التأكد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إتباعهم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والتزامهم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بقواعد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مكافحة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غسل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وتمويل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الإرهاب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2F">
      <w:pPr>
        <w:bidi w:val="1"/>
        <w:spacing w:before="4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spacing w:before="4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spacing w:before="4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spacing w:before="4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bidi w:val="1"/>
        <w:spacing w:before="4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bidi w:val="1"/>
        <w:spacing w:before="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انتهى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..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bidi w:val="1"/>
        <w:spacing w:before="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والله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ولي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التوفيق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spacing w:before="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                                                                               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رئيس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مجلس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spacing w:before="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                                                                                  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الدكتور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عبد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العزيز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بن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عبد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الله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1"/>
        </w:rPr>
        <w:t xml:space="preserve">المطلق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</w:rPr>
        <w:drawing>
          <wp:inline distB="114300" distT="114300" distL="114300" distR="114300">
            <wp:extent cx="1716108" cy="1726233"/>
            <wp:effectExtent b="0" l="0" r="0" t="0"/>
            <wp:docPr id="100506638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6108" cy="172623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685800</wp:posOffset>
          </wp:positionH>
          <wp:positionV relativeFrom="paragraph">
            <wp:posOffset>57151</wp:posOffset>
          </wp:positionV>
          <wp:extent cx="5274000" cy="749300"/>
          <wp:effectExtent b="0" l="0" r="0" t="0"/>
          <wp:wrapNone/>
          <wp:docPr id="100506638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100506638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00506638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E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1lL7NbMa9WS/uN5R/i/mb+eHcA==">CgMxLjA4AHIhMUJnUHh2MmVnekhaTTFHM0g4a09YRmluMU05Nm5nSng5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2024-05-28T10:22:00Z</dcterms:created>
  <dc:creator>daem@ssor.sa</dc:creator>
</cp:coreProperties>
</file>