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51985785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قائمة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المؤشرات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الدالة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على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وجود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شبهة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غسيل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أموال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وتمويل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الإرهاب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المحتويات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 </w:t>
      </w:r>
    </w:p>
    <w:p w:rsidR="00000000" w:rsidDel="00000000" w:rsidP="00000000" w:rsidRDefault="00000000" w:rsidRPr="00000000" w14:paraId="0000001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مؤشرات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تدل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b w:val="1"/>
          <w:color w:val="0f476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وجود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مؤشرات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الاشتباه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نموذج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الاشتباه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المؤشرات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التي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قد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تدل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على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عمليات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غسل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الأموال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أو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جرائم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تمويل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الإرهاب</w:t>
      </w:r>
      <w:r w:rsidDel="00000000" w:rsidR="00000000" w:rsidRPr="00000000">
        <w:rPr>
          <w:b w:val="1"/>
          <w:color w:val="0f4761"/>
          <w:sz w:val="32"/>
          <w:szCs w:val="32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إبداء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اهتماما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عادي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بشأن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الالتزام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لمتطلبات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وبخاصة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المتعلقة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بهويته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ونوع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3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2.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رفض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تقديم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توضيح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مصدر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أمواله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وأصوله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4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3.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رغبة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المشاركة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صفقات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واضحة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حيث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غرضها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الاقتصادي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انسجامها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استراتيجية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الاستثمار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المعلنة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5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4.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محاولة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تزويد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صحيحة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مضللة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تتعلق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بهويته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/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مصدر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أمواله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6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5.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بتورط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مخالفات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جنائية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تنظيمية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7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6.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إبداء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الاهتمام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بالمخاطر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والعمولات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8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7.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اشتباه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وكيل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نيابة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مجهول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وتردده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وامتناعه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بدون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أسباب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منطقية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إعطاء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الشخص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الجهة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9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8.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صعوبة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تقديم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وصف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لطبيعة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معرفته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بأنشطته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A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9.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قيام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باستثمار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يتبعه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وجيزة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تصفية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الوضع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الاستثماري</w:t>
      </w:r>
    </w:p>
    <w:p w:rsidR="00000000" w:rsidDel="00000000" w:rsidP="00000000" w:rsidRDefault="00000000" w:rsidRPr="00000000" w14:paraId="0000002B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وتحويل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العائد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الحساب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C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10.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وجود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اختلاف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كبير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والممارسات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العادية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D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11.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المستحقة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لطرف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آخر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ومحاولة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تزويد</w:t>
      </w:r>
    </w:p>
    <w:p w:rsidR="00000000" w:rsidDel="00000000" w:rsidP="00000000" w:rsidRDefault="00000000" w:rsidRPr="00000000" w14:paraId="0000002E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الجهة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والمحول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إليها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F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12.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محاولة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تغيير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صفقة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إلغاءها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تبليغه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بمتطلبات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تدقيق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حفظ</w:t>
      </w:r>
    </w:p>
    <w:p w:rsidR="00000000" w:rsidDel="00000000" w:rsidP="00000000" w:rsidRDefault="00000000" w:rsidRPr="00000000" w14:paraId="00000030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1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3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13.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إنهاء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إجراءات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صفقة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يستخدم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أقل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ممكن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4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14.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الممتلكات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إيراد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مصادر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مشروعة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5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15.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تناسب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تكرار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والعمليات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المتوفرة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المشتبه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</w:p>
    <w:p w:rsidR="00000000" w:rsidDel="00000000" w:rsidP="00000000" w:rsidRDefault="00000000" w:rsidRPr="00000000" w14:paraId="00000036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ونشاطه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ودخله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ونمط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حياته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وسلوكه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7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16.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انتماء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لمنظمة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معروفة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معروفة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بنشاط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محظور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8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17.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ظهور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علامات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البذخ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والرفاهية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وعائلته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مبالغ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وبما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يتناسب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</w:p>
    <w:p w:rsidR="00000000" w:rsidDel="00000000" w:rsidP="00000000" w:rsidRDefault="00000000" w:rsidRPr="00000000" w14:paraId="00000039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وضعه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الاقتصادي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مفاجئ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).</w:t>
      </w:r>
    </w:p>
    <w:p w:rsidR="00000000" w:rsidDel="00000000" w:rsidP="00000000" w:rsidRDefault="00000000" w:rsidRPr="00000000" w14:paraId="0000003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الاجراءات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في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حال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وجود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مؤشرات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الاشتباه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رصد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وجمع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الأدلة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المتوفرة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تعبئة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الاشتباه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العميل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تنبيهه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الرفع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للإدارة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وكافة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التواصل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بسرية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تامة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-469899</wp:posOffset>
            </wp:positionH>
            <wp:positionV relativeFrom="paragraph">
              <wp:posOffset>228600</wp:posOffset>
            </wp:positionV>
            <wp:extent cx="6216650" cy="8629650"/>
            <wp:effectExtent b="0" l="0" r="0" t="0"/>
            <wp:wrapSquare wrapText="bothSides" distB="0" distT="0" distL="114300" distR="114300"/>
            <wp:docPr id="151985785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16650" cy="8629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اعتماد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مجلس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الإدارة</w:t>
      </w:r>
    </w:p>
    <w:p w:rsidR="00000000" w:rsidDel="00000000" w:rsidP="00000000" w:rsidRDefault="00000000" w:rsidRPr="00000000" w14:paraId="0000004B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اعتماد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قائمة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المؤشرات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الدالة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وجود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شبهة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غسيل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أموال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وتمويل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الارهاب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لأبحاث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الأورام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4C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bidi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bidi w:val="1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اعتمده</w:t>
      </w:r>
    </w:p>
    <w:p w:rsidR="00000000" w:rsidDel="00000000" w:rsidP="00000000" w:rsidRDefault="00000000" w:rsidRPr="00000000" w14:paraId="00000058">
      <w:pPr>
        <w:bidi w:val="1"/>
        <w:rPr>
          <w:b w:val="1"/>
          <w:color w:val="0f4761"/>
          <w:sz w:val="30"/>
          <w:szCs w:val="30"/>
        </w:rPr>
      </w:pPr>
      <w:r w:rsidDel="00000000" w:rsidR="00000000" w:rsidRPr="00000000">
        <w:rPr>
          <w:b w:val="1"/>
          <w:color w:val="0f4761"/>
          <w:sz w:val="30"/>
          <w:szCs w:val="30"/>
          <w:rtl w:val="1"/>
        </w:rPr>
        <w:t xml:space="preserve">رئيس</w:t>
      </w:r>
      <w:r w:rsidDel="00000000" w:rsidR="00000000" w:rsidRPr="00000000">
        <w:rPr>
          <w:b w:val="1"/>
          <w:color w:val="0f476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0"/>
          <w:szCs w:val="30"/>
          <w:rtl w:val="1"/>
        </w:rPr>
        <w:t xml:space="preserve">مجلس</w:t>
      </w:r>
      <w:r w:rsidDel="00000000" w:rsidR="00000000" w:rsidRPr="00000000">
        <w:rPr>
          <w:b w:val="1"/>
          <w:color w:val="0f476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0"/>
          <w:szCs w:val="30"/>
          <w:rtl w:val="1"/>
        </w:rPr>
        <w:t xml:space="preserve">الإدارة</w:t>
      </w:r>
    </w:p>
    <w:p w:rsidR="00000000" w:rsidDel="00000000" w:rsidP="00000000" w:rsidRDefault="00000000" w:rsidRPr="00000000" w14:paraId="00000059">
      <w:pPr>
        <w:bidi w:val="1"/>
        <w:rPr>
          <w:b w:val="1"/>
          <w:color w:val="0f476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bidi w:val="1"/>
        <w:rPr>
          <w:b w:val="1"/>
          <w:color w:val="0f4761"/>
          <w:sz w:val="30"/>
          <w:szCs w:val="30"/>
        </w:rPr>
      </w:pPr>
      <w:r w:rsidDel="00000000" w:rsidR="00000000" w:rsidRPr="00000000">
        <w:rPr>
          <w:b w:val="1"/>
          <w:color w:val="0f4761"/>
          <w:sz w:val="30"/>
          <w:szCs w:val="30"/>
          <w:rtl w:val="0"/>
        </w:rPr>
        <w:t xml:space="preserve">                                                                </w:t>
      </w:r>
      <w:r w:rsidDel="00000000" w:rsidR="00000000" w:rsidRPr="00000000">
        <w:rPr>
          <w:b w:val="1"/>
          <w:color w:val="0f4761"/>
          <w:sz w:val="30"/>
          <w:szCs w:val="30"/>
        </w:rPr>
        <w:drawing>
          <wp:inline distB="114300" distT="114300" distL="114300" distR="114300">
            <wp:extent cx="1297313" cy="1304966"/>
            <wp:effectExtent b="0" l="0" r="0" t="0"/>
            <wp:docPr id="1519857849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7313" cy="13049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f4761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5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695325</wp:posOffset>
          </wp:positionH>
          <wp:positionV relativeFrom="paragraph">
            <wp:posOffset>76201</wp:posOffset>
          </wp:positionV>
          <wp:extent cx="5274000" cy="749300"/>
          <wp:effectExtent b="0" l="0" r="0" t="0"/>
          <wp:wrapNone/>
          <wp:docPr id="1519857853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51985785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51985785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D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58y3ogDNW5XG+OakJGiV47G07w==">CgMxLjA4AHIhMW1Ccjk4d2pkajZxNks1Ul9zdWtVM1hYdVBiREZPaDdQ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2024-05-16T09:37:00Z</dcterms:created>
  <dc:creator>daem@ssor.sa</dc:creator>
</cp:coreProperties>
</file>